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w:t>
      </w:r>
      <w:r w:rsidR="00025FA9">
        <w:rPr>
          <w:b/>
          <w:noProof/>
          <w:sz w:val="24"/>
        </w:rPr>
        <w:t>1</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581FE6">
        <w:rPr>
          <w:b/>
          <w:i/>
          <w:noProof/>
          <w:sz w:val="28"/>
        </w:rPr>
        <w:t>4274</w:t>
      </w:r>
    </w:p>
    <w:p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025FA9">
        <w:rPr>
          <w:rFonts w:eastAsia="Arial Unicode MS" w:cs="Arial"/>
          <w:b/>
          <w:bCs/>
          <w:sz w:val="24"/>
        </w:rPr>
        <w:t>May</w:t>
      </w:r>
      <w:r w:rsidR="00DD52D2" w:rsidRPr="005149D5">
        <w:rPr>
          <w:rFonts w:eastAsia="Arial Unicode MS" w:cs="Arial"/>
          <w:b/>
          <w:bCs/>
          <w:sz w:val="24"/>
        </w:rPr>
        <w:t xml:space="preserve"> </w:t>
      </w:r>
      <w:r w:rsidR="00025FA9">
        <w:rPr>
          <w:rFonts w:eastAsia="Arial Unicode MS" w:cs="Arial"/>
          <w:b/>
          <w:bCs/>
          <w:sz w:val="24"/>
        </w:rPr>
        <w:t>1</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2</w:t>
      </w:r>
      <w:r w:rsidR="00025FA9">
        <w:rPr>
          <w:rFonts w:eastAsia="Arial Unicode MS" w:cs="Arial"/>
          <w:b/>
          <w:bCs/>
          <w:sz w:val="24"/>
        </w:rPr>
        <w:t>0</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rsidTr="00547111">
        <w:tc>
          <w:tcPr>
            <w:tcW w:w="9641" w:type="dxa"/>
            <w:gridSpan w:val="9"/>
            <w:tcBorders>
              <w:top w:val="single" w:sz="4" w:space="0" w:color="auto"/>
              <w:left w:val="single" w:sz="4" w:space="0" w:color="auto"/>
              <w:right w:val="single" w:sz="4" w:space="0" w:color="auto"/>
            </w:tcBorders>
          </w:tcPr>
          <w:p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jc w:val="center"/>
              <w:rPr>
                <w:noProof/>
              </w:rPr>
            </w:pPr>
            <w:r w:rsidRPr="005149D5">
              <w:rPr>
                <w:b/>
                <w:noProof/>
                <w:sz w:val="32"/>
              </w:rPr>
              <w:t>CHANGE REQUEST</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42" w:type="dxa"/>
            <w:tcBorders>
              <w:left w:val="single" w:sz="4" w:space="0" w:color="auto"/>
            </w:tcBorders>
          </w:tcPr>
          <w:p w:rsidR="001E41F3" w:rsidRPr="005149D5" w:rsidRDefault="001E41F3">
            <w:pPr>
              <w:pStyle w:val="CRCoverPage"/>
              <w:spacing w:after="0"/>
              <w:jc w:val="right"/>
              <w:rPr>
                <w:noProof/>
              </w:rPr>
            </w:pPr>
          </w:p>
        </w:tc>
        <w:tc>
          <w:tcPr>
            <w:tcW w:w="1559" w:type="dxa"/>
            <w:shd w:val="pct30" w:color="FFFF00" w:fill="auto"/>
          </w:tcPr>
          <w:p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w:t>
            </w:r>
            <w:r w:rsidR="001B1084">
              <w:rPr>
                <w:b/>
                <w:noProof/>
                <w:sz w:val="28"/>
              </w:rPr>
              <w:t>1</w:t>
            </w:r>
          </w:p>
        </w:tc>
        <w:tc>
          <w:tcPr>
            <w:tcW w:w="709" w:type="dxa"/>
          </w:tcPr>
          <w:p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rsidR="001E41F3" w:rsidRPr="005149D5" w:rsidRDefault="00581FE6" w:rsidP="00547111">
            <w:pPr>
              <w:pStyle w:val="CRCoverPage"/>
              <w:spacing w:after="0"/>
              <w:rPr>
                <w:noProof/>
              </w:rPr>
            </w:pPr>
            <w:r>
              <w:rPr>
                <w:b/>
                <w:noProof/>
                <w:sz w:val="28"/>
              </w:rPr>
              <w:t>3647</w:t>
            </w:r>
          </w:p>
        </w:tc>
        <w:tc>
          <w:tcPr>
            <w:tcW w:w="709" w:type="dxa"/>
          </w:tcPr>
          <w:p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149D5">
              <w:rPr>
                <w:b/>
                <w:noProof/>
                <w:sz w:val="28"/>
              </w:rPr>
              <w:t>4</w:t>
            </w:r>
            <w:r w:rsidR="006D18D3" w:rsidRPr="005149D5">
              <w:rPr>
                <w:b/>
                <w:noProof/>
                <w:sz w:val="28"/>
              </w:rPr>
              <w:t>.</w:t>
            </w:r>
            <w:r w:rsidR="005149D5">
              <w:rPr>
                <w:b/>
                <w:noProof/>
                <w:sz w:val="28"/>
              </w:rPr>
              <w:t>0</w:t>
            </w:r>
          </w:p>
        </w:tc>
        <w:tc>
          <w:tcPr>
            <w:tcW w:w="143" w:type="dxa"/>
            <w:tcBorders>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top w:val="single" w:sz="4" w:space="0" w:color="auto"/>
            </w:tcBorders>
          </w:tcPr>
          <w:p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rsidTr="00547111">
        <w:tc>
          <w:tcPr>
            <w:tcW w:w="9641" w:type="dxa"/>
            <w:gridSpan w:val="9"/>
          </w:tcPr>
          <w:p w:rsidR="001E41F3" w:rsidRPr="005149D5" w:rsidRDefault="001E41F3">
            <w:pPr>
              <w:pStyle w:val="CRCoverPage"/>
              <w:spacing w:after="0"/>
              <w:rPr>
                <w:noProof/>
                <w:sz w:val="8"/>
                <w:szCs w:val="8"/>
              </w:rPr>
            </w:pPr>
          </w:p>
        </w:tc>
      </w:tr>
    </w:tbl>
    <w:p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rsidTr="00A7671C">
        <w:tc>
          <w:tcPr>
            <w:tcW w:w="2835" w:type="dxa"/>
          </w:tcPr>
          <w:p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149D5" w:rsidRDefault="00F25D98" w:rsidP="001E41F3">
            <w:pPr>
              <w:pStyle w:val="CRCoverPage"/>
              <w:spacing w:after="0"/>
              <w:jc w:val="center"/>
              <w:rPr>
                <w:b/>
                <w:caps/>
                <w:noProof/>
              </w:rPr>
            </w:pPr>
          </w:p>
        </w:tc>
        <w:tc>
          <w:tcPr>
            <w:tcW w:w="709" w:type="dxa"/>
            <w:tcBorders>
              <w:left w:val="single" w:sz="4" w:space="0" w:color="auto"/>
            </w:tcBorders>
          </w:tcPr>
          <w:p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B50844" w:rsidP="001E41F3">
            <w:pPr>
              <w:pStyle w:val="CRCoverPage"/>
              <w:spacing w:after="0"/>
              <w:jc w:val="center"/>
              <w:rPr>
                <w:b/>
                <w:caps/>
                <w:noProof/>
              </w:rPr>
            </w:pPr>
            <w:r>
              <w:rPr>
                <w:b/>
                <w:caps/>
                <w:noProof/>
              </w:rPr>
              <w:t>X</w:t>
            </w:r>
            <w:bookmarkStart w:id="1" w:name="_GoBack"/>
            <w:bookmarkEnd w:id="1"/>
          </w:p>
        </w:tc>
        <w:tc>
          <w:tcPr>
            <w:tcW w:w="2126" w:type="dxa"/>
          </w:tcPr>
          <w:p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149D5" w:rsidRDefault="00F25D98" w:rsidP="001E41F3">
            <w:pPr>
              <w:pStyle w:val="CRCoverPage"/>
              <w:spacing w:after="0"/>
              <w:jc w:val="center"/>
              <w:rPr>
                <w:b/>
                <w:caps/>
                <w:noProof/>
              </w:rPr>
            </w:pPr>
          </w:p>
        </w:tc>
        <w:tc>
          <w:tcPr>
            <w:tcW w:w="1418" w:type="dxa"/>
            <w:tcBorders>
              <w:left w:val="nil"/>
            </w:tcBorders>
          </w:tcPr>
          <w:p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AF1A6F" w:rsidP="001E41F3">
            <w:pPr>
              <w:pStyle w:val="CRCoverPage"/>
              <w:spacing w:after="0"/>
              <w:jc w:val="center"/>
              <w:rPr>
                <w:b/>
                <w:bCs/>
                <w:caps/>
                <w:noProof/>
              </w:rPr>
            </w:pPr>
            <w:r w:rsidRPr="005149D5">
              <w:rPr>
                <w:b/>
                <w:bCs/>
                <w:caps/>
                <w:noProof/>
              </w:rPr>
              <w:t>X</w:t>
            </w:r>
          </w:p>
        </w:tc>
      </w:tr>
    </w:tbl>
    <w:p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rsidTr="00547111">
        <w:tc>
          <w:tcPr>
            <w:tcW w:w="9640" w:type="dxa"/>
            <w:gridSpan w:val="11"/>
          </w:tcPr>
          <w:p w:rsidR="001E41F3" w:rsidRPr="005149D5" w:rsidRDefault="001E41F3">
            <w:pPr>
              <w:pStyle w:val="CRCoverPage"/>
              <w:spacing w:after="0"/>
              <w:rPr>
                <w:noProof/>
                <w:sz w:val="8"/>
                <w:szCs w:val="8"/>
              </w:rPr>
            </w:pPr>
          </w:p>
        </w:tc>
      </w:tr>
      <w:tr w:rsidR="001E41F3" w:rsidRPr="005149D5" w:rsidTr="00547111">
        <w:tc>
          <w:tcPr>
            <w:tcW w:w="1843" w:type="dxa"/>
            <w:tcBorders>
              <w:top w:val="single" w:sz="4" w:space="0" w:color="auto"/>
              <w:left w:val="single" w:sz="4" w:space="0" w:color="auto"/>
            </w:tcBorders>
          </w:tcPr>
          <w:p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rsidR="001E41F3" w:rsidRPr="005149D5" w:rsidRDefault="001B1084">
            <w:pPr>
              <w:pStyle w:val="CRCoverPage"/>
              <w:spacing w:after="0"/>
              <w:ind w:left="100"/>
              <w:rPr>
                <w:noProof/>
              </w:rPr>
            </w:pPr>
            <w:r w:rsidRPr="001B1084">
              <w:t>Clarification of UE egress terminology</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rsidR="001E41F3" w:rsidRPr="005149D5" w:rsidRDefault="00DF1FC2">
            <w:pPr>
              <w:pStyle w:val="CRCoverPage"/>
              <w:spacing w:after="0"/>
              <w:ind w:left="100"/>
              <w:rPr>
                <w:noProof/>
              </w:rPr>
            </w:pPr>
            <w:r w:rsidRPr="00DF1FC2">
              <w:rPr>
                <w:noProof/>
              </w:rPr>
              <w:t>Vertical_LAN</w:t>
            </w:r>
          </w:p>
        </w:tc>
        <w:tc>
          <w:tcPr>
            <w:tcW w:w="567" w:type="dxa"/>
            <w:tcBorders>
              <w:left w:val="nil"/>
            </w:tcBorders>
          </w:tcPr>
          <w:p w:rsidR="001E41F3" w:rsidRPr="005149D5" w:rsidRDefault="001E41F3">
            <w:pPr>
              <w:pStyle w:val="CRCoverPage"/>
              <w:spacing w:after="0"/>
              <w:ind w:right="100"/>
              <w:rPr>
                <w:noProof/>
              </w:rPr>
            </w:pPr>
          </w:p>
        </w:tc>
        <w:tc>
          <w:tcPr>
            <w:tcW w:w="1417" w:type="dxa"/>
            <w:gridSpan w:val="3"/>
            <w:tcBorders>
              <w:left w:val="nil"/>
            </w:tcBorders>
          </w:tcPr>
          <w:p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025FA9">
              <w:rPr>
                <w:noProof/>
              </w:rPr>
              <w:t>5</w:t>
            </w:r>
            <w:r w:rsidRPr="005149D5">
              <w:rPr>
                <w:noProof/>
              </w:rPr>
              <w:t>-</w:t>
            </w:r>
            <w:r w:rsidR="00025FA9">
              <w:rPr>
                <w:noProof/>
              </w:rPr>
              <w:t>06</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1986" w:type="dxa"/>
            <w:gridSpan w:val="4"/>
          </w:tcPr>
          <w:p w:rsidR="001E41F3" w:rsidRPr="005149D5" w:rsidRDefault="001E41F3">
            <w:pPr>
              <w:pStyle w:val="CRCoverPage"/>
              <w:spacing w:after="0"/>
              <w:rPr>
                <w:noProof/>
                <w:sz w:val="8"/>
                <w:szCs w:val="8"/>
              </w:rPr>
            </w:pPr>
          </w:p>
        </w:tc>
        <w:tc>
          <w:tcPr>
            <w:tcW w:w="2267" w:type="dxa"/>
            <w:gridSpan w:val="2"/>
          </w:tcPr>
          <w:p w:rsidR="001E41F3" w:rsidRPr="005149D5" w:rsidRDefault="001E41F3">
            <w:pPr>
              <w:pStyle w:val="CRCoverPage"/>
              <w:spacing w:after="0"/>
              <w:rPr>
                <w:noProof/>
                <w:sz w:val="8"/>
                <w:szCs w:val="8"/>
              </w:rPr>
            </w:pPr>
          </w:p>
        </w:tc>
        <w:tc>
          <w:tcPr>
            <w:tcW w:w="1417" w:type="dxa"/>
            <w:gridSpan w:val="3"/>
          </w:tcPr>
          <w:p w:rsidR="001E41F3" w:rsidRPr="005149D5" w:rsidRDefault="001E41F3">
            <w:pPr>
              <w:pStyle w:val="CRCoverPage"/>
              <w:spacing w:after="0"/>
              <w:rPr>
                <w:noProof/>
                <w:sz w:val="8"/>
                <w:szCs w:val="8"/>
              </w:rPr>
            </w:pPr>
          </w:p>
        </w:tc>
        <w:tc>
          <w:tcPr>
            <w:tcW w:w="2127" w:type="dxa"/>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rPr>
          <w:cantSplit/>
        </w:trPr>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rsidR="001E41F3" w:rsidRPr="005149D5" w:rsidRDefault="00DF1FC2" w:rsidP="00D24991">
            <w:pPr>
              <w:pStyle w:val="CRCoverPage"/>
              <w:spacing w:after="0"/>
              <w:ind w:left="100" w:right="-609"/>
              <w:rPr>
                <w:b/>
                <w:noProof/>
              </w:rPr>
            </w:pPr>
            <w:r>
              <w:rPr>
                <w:b/>
                <w:noProof/>
              </w:rPr>
              <w:t>A</w:t>
            </w:r>
          </w:p>
        </w:tc>
        <w:tc>
          <w:tcPr>
            <w:tcW w:w="3402" w:type="dxa"/>
            <w:gridSpan w:val="5"/>
            <w:tcBorders>
              <w:left w:val="nil"/>
            </w:tcBorders>
          </w:tcPr>
          <w:p w:rsidR="001E41F3" w:rsidRPr="005149D5" w:rsidRDefault="001E41F3">
            <w:pPr>
              <w:pStyle w:val="CRCoverPage"/>
              <w:spacing w:after="0"/>
              <w:rPr>
                <w:noProof/>
              </w:rPr>
            </w:pPr>
          </w:p>
        </w:tc>
        <w:tc>
          <w:tcPr>
            <w:tcW w:w="1417" w:type="dxa"/>
            <w:gridSpan w:val="3"/>
            <w:tcBorders>
              <w:left w:val="nil"/>
            </w:tcBorders>
          </w:tcPr>
          <w:p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rsidR="001E41F3" w:rsidRPr="005149D5" w:rsidRDefault="009B162C">
            <w:pPr>
              <w:pStyle w:val="CRCoverPage"/>
              <w:spacing w:after="0"/>
              <w:ind w:left="100"/>
              <w:rPr>
                <w:noProof/>
              </w:rPr>
            </w:pPr>
            <w:r w:rsidRPr="005149D5">
              <w:rPr>
                <w:noProof/>
              </w:rPr>
              <w:t>Rel-17</w:t>
            </w:r>
          </w:p>
        </w:tc>
      </w:tr>
      <w:tr w:rsidR="001E41F3" w:rsidRPr="005149D5" w:rsidTr="00547111">
        <w:tc>
          <w:tcPr>
            <w:tcW w:w="1843" w:type="dxa"/>
            <w:tcBorders>
              <w:left w:val="single" w:sz="4" w:space="0" w:color="auto"/>
              <w:bottom w:val="single" w:sz="4" w:space="0" w:color="auto"/>
            </w:tcBorders>
          </w:tcPr>
          <w:p w:rsidR="001E41F3" w:rsidRPr="005149D5" w:rsidRDefault="001E41F3">
            <w:pPr>
              <w:pStyle w:val="CRCoverPage"/>
              <w:spacing w:after="0"/>
              <w:rPr>
                <w:b/>
                <w:i/>
                <w:noProof/>
              </w:rPr>
            </w:pPr>
          </w:p>
        </w:tc>
        <w:tc>
          <w:tcPr>
            <w:tcW w:w="4677" w:type="dxa"/>
            <w:gridSpan w:val="8"/>
            <w:tcBorders>
              <w:bottom w:val="single" w:sz="4" w:space="0" w:color="auto"/>
            </w:tcBorders>
          </w:tcPr>
          <w:p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rsidTr="00547111">
        <w:tc>
          <w:tcPr>
            <w:tcW w:w="1843" w:type="dxa"/>
          </w:tcPr>
          <w:p w:rsidR="001E41F3" w:rsidRPr="005149D5" w:rsidRDefault="001E41F3">
            <w:pPr>
              <w:pStyle w:val="CRCoverPage"/>
              <w:spacing w:after="0"/>
              <w:rPr>
                <w:b/>
                <w:i/>
                <w:noProof/>
                <w:sz w:val="8"/>
                <w:szCs w:val="8"/>
              </w:rPr>
            </w:pPr>
          </w:p>
        </w:tc>
        <w:tc>
          <w:tcPr>
            <w:tcW w:w="7797" w:type="dxa"/>
            <w:gridSpan w:val="10"/>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rsidR="00FA0995" w:rsidRDefault="00FA0995" w:rsidP="00FA0995">
            <w:pPr>
              <w:pStyle w:val="CRCoverPage"/>
              <w:spacing w:after="0"/>
              <w:ind w:left="100"/>
              <w:rPr>
                <w:noProof/>
              </w:rPr>
            </w:pPr>
            <w:r>
              <w:rPr>
                <w:noProof/>
              </w:rPr>
              <w:t>During the previous meetings, none of the proposals for clarifying the meaning of the ambiguous term “UE egress” could be accepted. It was however commented that the term could be removed from the specification (and replaced by the term “UE”) given that the UE internal details are usually not specified.</w:t>
            </w:r>
          </w:p>
          <w:p w:rsidR="001E41F3" w:rsidRPr="005149D5" w:rsidRDefault="00FA0995" w:rsidP="00FA0995">
            <w:pPr>
              <w:pStyle w:val="CRCoverPage"/>
              <w:spacing w:after="0"/>
              <w:ind w:left="100"/>
              <w:rPr>
                <w:noProof/>
              </w:rPr>
            </w:pPr>
            <w:r>
              <w:rPr>
                <w:noProof/>
              </w:rPr>
              <w:t xml:space="preserve">Furthermore, the definition of the </w:t>
            </w:r>
            <w:r w:rsidRPr="00CA7688">
              <w:rPr>
                <w:noProof/>
              </w:rPr>
              <w:t>UE-DS-TT Residence Time</w:t>
            </w:r>
            <w:r>
              <w:rPr>
                <w:noProof/>
              </w:rPr>
              <w:t xml:space="preserve"> (which is used to calculate the UL Burst Arrival Time in the TSCAI) is also not using the this term: “</w:t>
            </w:r>
            <w:r w:rsidRPr="00CA7688">
              <w:rPr>
                <w:b/>
                <w:noProof/>
              </w:rPr>
              <w:t>UE-DS-TT Residence Time:</w:t>
            </w:r>
            <w:r w:rsidRPr="00CA7688">
              <w:rPr>
                <w:noProof/>
              </w:rPr>
              <w:t xml:space="preserve"> The time taken within the UE and DS-TT to forward a packet between the UE and DS-TT port.</w:t>
            </w:r>
            <w:r>
              <w:rPr>
                <w:noProof/>
              </w:rPr>
              <w:t>”</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FA0995" w:rsidRPr="005149D5" w:rsidTr="00547111">
        <w:tc>
          <w:tcPr>
            <w:tcW w:w="2694" w:type="dxa"/>
            <w:gridSpan w:val="2"/>
            <w:tcBorders>
              <w:left w:val="single" w:sz="4" w:space="0" w:color="auto"/>
            </w:tcBorders>
          </w:tcPr>
          <w:p w:rsidR="00FA0995" w:rsidRPr="005149D5" w:rsidRDefault="00FA0995" w:rsidP="00FA0995">
            <w:pPr>
              <w:pStyle w:val="CRCoverPage"/>
              <w:tabs>
                <w:tab w:val="right" w:pos="2184"/>
              </w:tabs>
              <w:spacing w:after="0"/>
              <w:rPr>
                <w:b/>
                <w:i/>
                <w:noProof/>
              </w:rPr>
            </w:pPr>
            <w:r w:rsidRPr="005149D5">
              <w:rPr>
                <w:b/>
                <w:i/>
                <w:noProof/>
              </w:rPr>
              <w:t>Summary of change:</w:t>
            </w:r>
          </w:p>
        </w:tc>
        <w:tc>
          <w:tcPr>
            <w:tcW w:w="6946" w:type="dxa"/>
            <w:gridSpan w:val="9"/>
            <w:tcBorders>
              <w:right w:val="single" w:sz="4" w:space="0" w:color="auto"/>
            </w:tcBorders>
            <w:shd w:val="pct30" w:color="FFFF00" w:fill="auto"/>
          </w:tcPr>
          <w:p w:rsidR="00FA0995" w:rsidRPr="005149D5" w:rsidRDefault="00FA0995" w:rsidP="00FA0995">
            <w:pPr>
              <w:pStyle w:val="CRCoverPage"/>
              <w:spacing w:after="0"/>
              <w:ind w:left="100"/>
              <w:rPr>
                <w:noProof/>
              </w:rPr>
            </w:pPr>
            <w:r>
              <w:rPr>
                <w:noProof/>
              </w:rPr>
              <w:t xml:space="preserve">The term “UE egress” is therefore replaced by “UE” in this specification to avoid the ambiguous term and to align with the definition of the </w:t>
            </w:r>
            <w:r w:rsidRPr="00CA7688">
              <w:rPr>
                <w:noProof/>
              </w:rPr>
              <w:t>UE-DS-TT Residence Time</w:t>
            </w:r>
            <w:r>
              <w:rPr>
                <w:noProof/>
              </w:rPr>
              <w:t>.</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FA0995" w:rsidRPr="005149D5" w:rsidTr="00547111">
        <w:tc>
          <w:tcPr>
            <w:tcW w:w="2694" w:type="dxa"/>
            <w:gridSpan w:val="2"/>
            <w:tcBorders>
              <w:left w:val="single" w:sz="4" w:space="0" w:color="auto"/>
              <w:bottom w:val="single" w:sz="4" w:space="0" w:color="auto"/>
            </w:tcBorders>
          </w:tcPr>
          <w:p w:rsidR="00FA0995" w:rsidRPr="005149D5" w:rsidRDefault="00FA0995" w:rsidP="00FA0995">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rsidR="00FA0995" w:rsidRPr="00CA7688" w:rsidRDefault="00FA0995" w:rsidP="00FA0995">
            <w:pPr>
              <w:pStyle w:val="CRCoverPage"/>
              <w:spacing w:after="0"/>
              <w:ind w:left="100"/>
              <w:rPr>
                <w:noProof/>
              </w:rPr>
            </w:pPr>
            <w:r>
              <w:rPr>
                <w:noProof/>
              </w:rPr>
              <w:t>The meaning of the term</w:t>
            </w:r>
            <w:r w:rsidRPr="00CA7688">
              <w:rPr>
                <w:noProof/>
              </w:rPr>
              <w:t xml:space="preserve"> </w:t>
            </w:r>
            <w:r>
              <w:rPr>
                <w:noProof/>
              </w:rPr>
              <w:t>“</w:t>
            </w:r>
            <w:r w:rsidRPr="00CA7688">
              <w:rPr>
                <w:noProof/>
              </w:rPr>
              <w:t>UE egress</w:t>
            </w:r>
            <w:r>
              <w:rPr>
                <w:noProof/>
              </w:rPr>
              <w:t>”</w:t>
            </w:r>
            <w:r w:rsidRPr="00CA7688">
              <w:rPr>
                <w:noProof/>
              </w:rPr>
              <w:t xml:space="preserve"> </w:t>
            </w:r>
            <w:r>
              <w:rPr>
                <w:noProof/>
              </w:rPr>
              <w:t>is not clear and thus, the UL Burst Arrival Time in the TSCAI could be interpreted in different ways</w:t>
            </w:r>
            <w:r w:rsidRPr="00CA7688">
              <w:rPr>
                <w:noProof/>
              </w:rPr>
              <w:t>.</w:t>
            </w:r>
          </w:p>
        </w:tc>
      </w:tr>
      <w:tr w:rsidR="001E41F3" w:rsidRPr="005149D5" w:rsidTr="00547111">
        <w:tc>
          <w:tcPr>
            <w:tcW w:w="2694" w:type="dxa"/>
            <w:gridSpan w:val="2"/>
          </w:tcPr>
          <w:p w:rsidR="001E41F3" w:rsidRPr="005149D5" w:rsidRDefault="001E41F3">
            <w:pPr>
              <w:pStyle w:val="CRCoverPage"/>
              <w:spacing w:after="0"/>
              <w:rPr>
                <w:b/>
                <w:i/>
                <w:noProof/>
                <w:sz w:val="8"/>
                <w:szCs w:val="8"/>
              </w:rPr>
            </w:pPr>
          </w:p>
        </w:tc>
        <w:tc>
          <w:tcPr>
            <w:tcW w:w="6946" w:type="dxa"/>
            <w:gridSpan w:val="9"/>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149D5" w:rsidRDefault="00E43D2B">
            <w:pPr>
              <w:pStyle w:val="CRCoverPage"/>
              <w:spacing w:after="0"/>
              <w:ind w:left="100"/>
              <w:rPr>
                <w:noProof/>
              </w:rPr>
            </w:pPr>
            <w:r w:rsidRPr="00DA3BBC">
              <w:t>5.27.1a</w:t>
            </w:r>
            <w:r>
              <w:t xml:space="preserve">, </w:t>
            </w:r>
            <w:r w:rsidRPr="00DA3BBC">
              <w:t>5.27.2.1</w:t>
            </w:r>
            <w:r>
              <w:t xml:space="preserve">, </w:t>
            </w:r>
            <w:r w:rsidRPr="00DA3BBC">
              <w:t>5.27.2.4</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149D5" w:rsidRDefault="001E41F3">
            <w:pPr>
              <w:pStyle w:val="CRCoverPage"/>
              <w:spacing w:after="0"/>
              <w:jc w:val="center"/>
              <w:rPr>
                <w:b/>
                <w:caps/>
                <w:noProof/>
              </w:rPr>
            </w:pPr>
            <w:r w:rsidRPr="005149D5">
              <w:rPr>
                <w:b/>
                <w:caps/>
                <w:noProof/>
              </w:rPr>
              <w:t>N</w:t>
            </w:r>
          </w:p>
        </w:tc>
        <w:tc>
          <w:tcPr>
            <w:tcW w:w="2977" w:type="dxa"/>
            <w:gridSpan w:val="4"/>
          </w:tcPr>
          <w:p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149D5" w:rsidRDefault="001E41F3">
            <w:pPr>
              <w:pStyle w:val="CRCoverPage"/>
              <w:spacing w:after="0"/>
              <w:ind w:left="99"/>
              <w:rPr>
                <w:noProof/>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Tr="00547111">
        <w:tc>
          <w:tcPr>
            <w:tcW w:w="2694" w:type="dxa"/>
            <w:gridSpan w:val="2"/>
            <w:tcBorders>
              <w:left w:val="single" w:sz="4" w:space="0" w:color="auto"/>
            </w:tcBorders>
          </w:tcPr>
          <w:p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43D2B" w:rsidRPr="00DA3BBC" w:rsidRDefault="00E43D2B" w:rsidP="00E43D2B">
      <w:pPr>
        <w:pStyle w:val="Heading3"/>
      </w:pPr>
      <w:bookmarkStart w:id="3" w:name="_Toc91148556"/>
      <w:bookmarkEnd w:id="2"/>
      <w:r w:rsidRPr="00DA3BBC">
        <w:t>5.27.1a</w:t>
      </w:r>
      <w:r w:rsidRPr="00DA3BBC">
        <w:tab/>
        <w:t>Periodic deterministic communication</w:t>
      </w:r>
      <w:bookmarkEnd w:id="3"/>
    </w:p>
    <w:p w:rsidR="00E43D2B" w:rsidRPr="00DA3BBC" w:rsidRDefault="00E43D2B" w:rsidP="00E43D2B">
      <w:r w:rsidRPr="00DA3BBC">
        <w:t>This clause describes 5G System features that allow support of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rsidR="00E43D2B" w:rsidRPr="00DA3BBC" w:rsidRDefault="00E43D2B" w:rsidP="00E43D2B">
      <w:r w:rsidRPr="00DA3BBC">
        <w:t>The features include the following:</w:t>
      </w:r>
    </w:p>
    <w:p w:rsidR="00E43D2B" w:rsidRPr="00DA3BBC" w:rsidRDefault="00E43D2B" w:rsidP="00E43D2B">
      <w:pPr>
        <w:pStyle w:val="B1"/>
      </w:pPr>
      <w:r w:rsidRPr="00DA3BBC">
        <w:t>-</w:t>
      </w:r>
      <w:r w:rsidRPr="00DA3BBC">
        <w:tab/>
        <w:t xml:space="preserve">Providing TSC Assistance Information (TSCAI) that describe TSC flow traffic characteristics </w:t>
      </w:r>
      <w:ins w:id="4" w:author="Huawei" w:date="2022-04-14T09:27:00Z">
        <w:r w:rsidR="00025FA9">
          <w:t>(</w:t>
        </w:r>
      </w:ins>
      <w:r w:rsidRPr="00DA3BBC">
        <w:t>as described in clause 5.27.2</w:t>
      </w:r>
      <w:ins w:id="5" w:author="Huawei" w:date="2022-04-14T09:27:00Z">
        <w:r w:rsidR="00025FA9">
          <w:t>)</w:t>
        </w:r>
      </w:ins>
      <w:r w:rsidRPr="00DA3BBC">
        <w:t xml:space="preserve"> at the gNB ingress </w:t>
      </w:r>
      <w:del w:id="6" w:author="Huawei" w:date="2022-03-14T16:46:00Z">
        <w:r w:rsidRPr="00DA3BBC" w:rsidDel="0056623C">
          <w:delText xml:space="preserve">and UE </w:delText>
        </w:r>
      </w:del>
      <w:del w:id="7" w:author="Huawei" w:date="2022-03-14T16:36:00Z">
        <w:r w:rsidRPr="00DA3BBC" w:rsidDel="00E43D2B">
          <w:delText xml:space="preserve">egress interfaces </w:delText>
        </w:r>
      </w:del>
      <w:r w:rsidRPr="00DA3BBC">
        <w:t xml:space="preserve">for traffic in downlink </w:t>
      </w:r>
      <w:ins w:id="8" w:author="Huawei" w:date="2022-03-14T16:46:00Z">
        <w:r w:rsidR="0056623C">
          <w:t xml:space="preserve">direction </w:t>
        </w:r>
      </w:ins>
      <w:r w:rsidRPr="00DA3BBC">
        <w:t xml:space="preserve">and </w:t>
      </w:r>
      <w:ins w:id="9" w:author="Huawei" w:date="2022-03-14T16:46:00Z">
        <w:r w:rsidR="0056623C">
          <w:t xml:space="preserve">at the </w:t>
        </w:r>
        <w:r w:rsidR="0056623C" w:rsidRPr="00DA3BBC">
          <w:t xml:space="preserve">UE </w:t>
        </w:r>
        <w:r w:rsidR="0056623C">
          <w:t xml:space="preserve">for traffic in </w:t>
        </w:r>
      </w:ins>
      <w:r w:rsidRPr="00DA3BBC">
        <w:t>uplink direction, respectively;</w:t>
      </w:r>
    </w:p>
    <w:p w:rsidR="00E43D2B" w:rsidRPr="00DA3BBC" w:rsidRDefault="00E43D2B" w:rsidP="00E43D2B">
      <w:pPr>
        <w:pStyle w:val="B1"/>
      </w:pPr>
      <w:r w:rsidRPr="00DA3BBC">
        <w:t>-</w:t>
      </w:r>
      <w:r w:rsidRPr="00DA3BBC">
        <w:tab/>
        <w:t>Support for hold &amp; forward buffering mechanism (see clause 5.27.4) in DS-TT and NW-TT to de-jitter flows that have traversed the 5G System.</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43D2B" w:rsidRPr="00DA3BBC" w:rsidRDefault="00E43D2B" w:rsidP="00E43D2B">
      <w:pPr>
        <w:pStyle w:val="Heading4"/>
      </w:pPr>
      <w:bookmarkStart w:id="10" w:name="_Toc91148558"/>
      <w:r w:rsidRPr="00DA3BBC">
        <w:t>5.27.2.1</w:t>
      </w:r>
      <w:r w:rsidRPr="00DA3BBC">
        <w:tab/>
        <w:t>General</w:t>
      </w:r>
      <w:bookmarkEnd w:id="10"/>
    </w:p>
    <w:p w:rsidR="00E43D2B" w:rsidRPr="00DA3BBC" w:rsidRDefault="00E43D2B" w:rsidP="00E43D2B">
      <w:r w:rsidRPr="00DA3BBC">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w:t>
      </w:r>
      <w:proofErr w:type="gramStart"/>
      <w:r w:rsidRPr="00DA3BBC">
        <w:t>periodic, deterministic traffic characteristics</w:t>
      </w:r>
      <w:proofErr w:type="gramEnd"/>
      <w:r w:rsidRPr="00DA3BBC">
        <w:t xml:space="preserve"> either via Configured Grants, Semi-Persistent Scheduling or with Dynamic Grants.</w:t>
      </w:r>
    </w:p>
    <w:p w:rsidR="00E43D2B" w:rsidRPr="00DA3BBC" w:rsidRDefault="00E43D2B" w:rsidP="00E43D2B">
      <w:r w:rsidRPr="00DA3BBC">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rsidR="00E43D2B" w:rsidRPr="00DA3BBC" w:rsidRDefault="00E43D2B" w:rsidP="00E43D2B">
      <w:r w:rsidRPr="00DA3BBC">
        <w:t>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rsidR="00E43D2B" w:rsidRPr="00DA3BBC" w:rsidRDefault="00E43D2B" w:rsidP="00E43D2B">
      <w:r w:rsidRPr="00DA3BBC">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rsidR="00E43D2B" w:rsidRPr="00DA3BBC" w:rsidRDefault="00E43D2B" w:rsidP="00E43D2B">
      <w:r w:rsidRPr="00DA3BBC">
        <w:t>The SMF may send an update of the TSCAI to the NG-RAN as defined in clauses 4.3.3.2, 4.9.1.2.2 and 4.9.1.3.2 of TS 23.502 [3].</w:t>
      </w:r>
    </w:p>
    <w:p w:rsidR="00E43D2B" w:rsidRPr="00DA3BBC" w:rsidRDefault="00E43D2B" w:rsidP="00E43D2B">
      <w:pPr>
        <w:pStyle w:val="TH"/>
      </w:pPr>
      <w:r w:rsidRPr="00DA3BBC">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E43D2B" w:rsidRPr="00DA3BBC" w:rsidTr="00F97F32">
        <w:trPr>
          <w:cantSplit/>
          <w:jc w:val="center"/>
        </w:trPr>
        <w:tc>
          <w:tcPr>
            <w:tcW w:w="3166" w:type="dxa"/>
            <w:shd w:val="clear" w:color="auto" w:fill="auto"/>
          </w:tcPr>
          <w:p w:rsidR="00E43D2B" w:rsidRPr="00DA3BBC" w:rsidRDefault="00E43D2B" w:rsidP="00F97F32">
            <w:pPr>
              <w:pStyle w:val="TAH"/>
            </w:pPr>
            <w:r w:rsidRPr="00DA3BBC">
              <w:t>Assistance Information</w:t>
            </w:r>
          </w:p>
        </w:tc>
        <w:tc>
          <w:tcPr>
            <w:tcW w:w="6465" w:type="dxa"/>
            <w:shd w:val="clear" w:color="auto" w:fill="auto"/>
          </w:tcPr>
          <w:p w:rsidR="00E43D2B" w:rsidRPr="00DA3BBC" w:rsidRDefault="00E43D2B" w:rsidP="00F97F32">
            <w:pPr>
              <w:pStyle w:val="TAH"/>
            </w:pPr>
            <w:r w:rsidRPr="00DA3BBC">
              <w:t>Description</w:t>
            </w:r>
          </w:p>
        </w:tc>
      </w:tr>
      <w:tr w:rsidR="00E43D2B" w:rsidRPr="00DA3BBC" w:rsidTr="00F97F32">
        <w:trPr>
          <w:cantSplit/>
          <w:jc w:val="center"/>
        </w:trPr>
        <w:tc>
          <w:tcPr>
            <w:tcW w:w="3166" w:type="dxa"/>
            <w:shd w:val="clear" w:color="auto" w:fill="auto"/>
          </w:tcPr>
          <w:p w:rsidR="00E43D2B" w:rsidRPr="00DA3BBC" w:rsidRDefault="00E43D2B" w:rsidP="00F97F32">
            <w:pPr>
              <w:pStyle w:val="TAL"/>
            </w:pPr>
            <w:r w:rsidRPr="00DA3BBC">
              <w:t>Flow Direction</w:t>
            </w:r>
          </w:p>
        </w:tc>
        <w:tc>
          <w:tcPr>
            <w:tcW w:w="6465" w:type="dxa"/>
            <w:shd w:val="clear" w:color="auto" w:fill="auto"/>
          </w:tcPr>
          <w:p w:rsidR="00E43D2B" w:rsidRPr="00DA3BBC" w:rsidRDefault="00E43D2B" w:rsidP="00F97F32">
            <w:pPr>
              <w:pStyle w:val="TAL"/>
            </w:pPr>
            <w:r w:rsidRPr="00DA3BBC">
              <w:t>The direction of the TSC flow (uplink or downlink).</w:t>
            </w:r>
          </w:p>
        </w:tc>
      </w:tr>
      <w:tr w:rsidR="00E43D2B" w:rsidRPr="00DA3BBC" w:rsidTr="00F97F32">
        <w:trPr>
          <w:cantSplit/>
          <w:jc w:val="center"/>
        </w:trPr>
        <w:tc>
          <w:tcPr>
            <w:tcW w:w="3166" w:type="dxa"/>
            <w:shd w:val="clear" w:color="auto" w:fill="auto"/>
          </w:tcPr>
          <w:p w:rsidR="00E43D2B" w:rsidRPr="00DA3BBC" w:rsidRDefault="00E43D2B" w:rsidP="00F97F32">
            <w:pPr>
              <w:pStyle w:val="TAL"/>
            </w:pPr>
            <w:r w:rsidRPr="00DA3BBC">
              <w:t>Periodicity</w:t>
            </w:r>
          </w:p>
        </w:tc>
        <w:tc>
          <w:tcPr>
            <w:tcW w:w="6465" w:type="dxa"/>
            <w:shd w:val="clear" w:color="auto" w:fill="auto"/>
          </w:tcPr>
          <w:p w:rsidR="00E43D2B" w:rsidRPr="00DA3BBC" w:rsidRDefault="00E43D2B" w:rsidP="00F97F32">
            <w:pPr>
              <w:pStyle w:val="TAL"/>
            </w:pPr>
            <w:r w:rsidRPr="00DA3BBC">
              <w:t>It refers to the time period between start of two data bursts.</w:t>
            </w:r>
          </w:p>
        </w:tc>
      </w:tr>
      <w:tr w:rsidR="00E43D2B" w:rsidRPr="00DA3BBC" w:rsidTr="00F97F32">
        <w:trPr>
          <w:cantSplit/>
          <w:jc w:val="center"/>
        </w:trPr>
        <w:tc>
          <w:tcPr>
            <w:tcW w:w="3166" w:type="dxa"/>
            <w:shd w:val="clear" w:color="auto" w:fill="auto"/>
          </w:tcPr>
          <w:p w:rsidR="00E43D2B" w:rsidRPr="00DA3BBC" w:rsidRDefault="00E43D2B" w:rsidP="00F97F32">
            <w:pPr>
              <w:pStyle w:val="TAL"/>
            </w:pPr>
            <w:r w:rsidRPr="00DA3BBC">
              <w:t>Burst Arrival Time (optional)</w:t>
            </w:r>
          </w:p>
        </w:tc>
        <w:tc>
          <w:tcPr>
            <w:tcW w:w="6465" w:type="dxa"/>
            <w:shd w:val="clear" w:color="auto" w:fill="auto"/>
          </w:tcPr>
          <w:p w:rsidR="00E43D2B" w:rsidRPr="00DA3BBC" w:rsidRDefault="00E43D2B" w:rsidP="00F97F32">
            <w:pPr>
              <w:pStyle w:val="TAL"/>
            </w:pPr>
            <w:r w:rsidRPr="00DA3BBC">
              <w:t xml:space="preserve">The latest possible time when the first packet of the data burst arrives at either the ingress of the RAN (downlink flow direction) or </w:t>
            </w:r>
            <w:del w:id="11" w:author="Huawei" w:date="2022-03-14T16:37:00Z">
              <w:r w:rsidRPr="00DA3BBC" w:rsidDel="00E43D2B">
                <w:delText>the egress interface of</w:delText>
              </w:r>
            </w:del>
            <w:ins w:id="12" w:author="Huawei" w:date="2022-03-14T16:37:00Z">
              <w:r>
                <w:t>at</w:t>
              </w:r>
            </w:ins>
            <w:r w:rsidRPr="00DA3BBC">
              <w:t xml:space="preserve"> the UE (uplink flow direction).</w:t>
            </w:r>
          </w:p>
        </w:tc>
      </w:tr>
      <w:tr w:rsidR="00E43D2B" w:rsidRPr="00DA3BBC" w:rsidTr="00F97F32">
        <w:trPr>
          <w:cantSplit/>
          <w:jc w:val="center"/>
        </w:trPr>
        <w:tc>
          <w:tcPr>
            <w:tcW w:w="3166" w:type="dxa"/>
            <w:shd w:val="clear" w:color="auto" w:fill="auto"/>
          </w:tcPr>
          <w:p w:rsidR="00E43D2B" w:rsidRPr="00DA3BBC" w:rsidRDefault="00E43D2B" w:rsidP="00F97F32">
            <w:pPr>
              <w:pStyle w:val="TAL"/>
            </w:pPr>
            <w:r w:rsidRPr="00DA3BBC">
              <w:t>Survival Time (optional)</w:t>
            </w:r>
          </w:p>
        </w:tc>
        <w:tc>
          <w:tcPr>
            <w:tcW w:w="6465" w:type="dxa"/>
            <w:shd w:val="clear" w:color="auto" w:fill="auto"/>
          </w:tcPr>
          <w:p w:rsidR="00E43D2B" w:rsidRPr="00DA3BBC" w:rsidRDefault="00E43D2B" w:rsidP="00F97F32">
            <w:pPr>
              <w:pStyle w:val="TAL"/>
            </w:pPr>
            <w:r w:rsidRPr="00DA3BBC">
              <w:t>Survival Time, as defined in TS 22.261 [2], is synonymous with the time period an application can survive without any data burst.</w:t>
            </w:r>
          </w:p>
        </w:tc>
      </w:tr>
    </w:tbl>
    <w:p w:rsidR="00E43D2B" w:rsidRPr="00DA3BBC" w:rsidRDefault="00E43D2B" w:rsidP="00E43D2B">
      <w:pPr>
        <w:pStyle w:val="FP"/>
      </w:pPr>
    </w:p>
    <w:p w:rsidR="00E43D2B" w:rsidRPr="00DA3BBC" w:rsidRDefault="00E43D2B" w:rsidP="00E43D2B">
      <w:pPr>
        <w:pStyle w:val="TH"/>
      </w:pPr>
      <w:r w:rsidRPr="00DA3BBC">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E43D2B" w:rsidRPr="00DA3BBC" w:rsidTr="007F39D8">
        <w:trPr>
          <w:cantSplit/>
          <w:jc w:val="center"/>
        </w:trPr>
        <w:tc>
          <w:tcPr>
            <w:tcW w:w="3166" w:type="dxa"/>
            <w:shd w:val="clear" w:color="auto" w:fill="auto"/>
          </w:tcPr>
          <w:p w:rsidR="00E43D2B" w:rsidRPr="00DA3BBC" w:rsidRDefault="00E43D2B" w:rsidP="00F97F32">
            <w:pPr>
              <w:pStyle w:val="TAH"/>
            </w:pPr>
            <w:r w:rsidRPr="00DA3BBC">
              <w:t>Assistance Information</w:t>
            </w:r>
          </w:p>
        </w:tc>
        <w:tc>
          <w:tcPr>
            <w:tcW w:w="6465" w:type="dxa"/>
            <w:shd w:val="clear" w:color="auto" w:fill="auto"/>
          </w:tcPr>
          <w:p w:rsidR="00E43D2B" w:rsidRPr="00DA3BBC" w:rsidRDefault="00E43D2B" w:rsidP="00F97F32">
            <w:pPr>
              <w:pStyle w:val="TAH"/>
            </w:pPr>
            <w:r w:rsidRPr="00DA3BBC">
              <w:t>Description</w:t>
            </w:r>
          </w:p>
        </w:tc>
      </w:tr>
      <w:tr w:rsidR="00E43D2B" w:rsidRPr="00DA3BBC" w:rsidTr="007F39D8">
        <w:trPr>
          <w:cantSplit/>
          <w:jc w:val="center"/>
        </w:trPr>
        <w:tc>
          <w:tcPr>
            <w:tcW w:w="3166" w:type="dxa"/>
            <w:shd w:val="clear" w:color="auto" w:fill="auto"/>
          </w:tcPr>
          <w:p w:rsidR="00E43D2B" w:rsidRPr="00DA3BBC" w:rsidRDefault="00E43D2B" w:rsidP="00F97F32">
            <w:pPr>
              <w:pStyle w:val="TAL"/>
            </w:pPr>
            <w:r w:rsidRPr="00DA3BBC">
              <w:t>Flow Direction</w:t>
            </w:r>
          </w:p>
        </w:tc>
        <w:tc>
          <w:tcPr>
            <w:tcW w:w="6465" w:type="dxa"/>
            <w:shd w:val="clear" w:color="auto" w:fill="auto"/>
          </w:tcPr>
          <w:p w:rsidR="00E43D2B" w:rsidRPr="00DA3BBC" w:rsidRDefault="00E43D2B" w:rsidP="00F97F32">
            <w:pPr>
              <w:pStyle w:val="TAL"/>
            </w:pPr>
            <w:r w:rsidRPr="00DA3BBC">
              <w:t>The direction of the TSC flow (uplink or downlink).</w:t>
            </w:r>
          </w:p>
        </w:tc>
      </w:tr>
      <w:tr w:rsidR="00E43D2B" w:rsidRPr="00DA3BBC" w:rsidTr="007F39D8">
        <w:trPr>
          <w:cantSplit/>
          <w:jc w:val="center"/>
        </w:trPr>
        <w:tc>
          <w:tcPr>
            <w:tcW w:w="3166" w:type="dxa"/>
            <w:shd w:val="clear" w:color="auto" w:fill="auto"/>
          </w:tcPr>
          <w:p w:rsidR="00E43D2B" w:rsidRPr="00DA3BBC" w:rsidRDefault="00E43D2B" w:rsidP="00F97F32">
            <w:pPr>
              <w:pStyle w:val="TAL"/>
            </w:pPr>
            <w:r w:rsidRPr="00DA3BBC">
              <w:t>Periodicity</w:t>
            </w:r>
          </w:p>
        </w:tc>
        <w:tc>
          <w:tcPr>
            <w:tcW w:w="6465" w:type="dxa"/>
            <w:shd w:val="clear" w:color="auto" w:fill="auto"/>
          </w:tcPr>
          <w:p w:rsidR="00E43D2B" w:rsidRPr="00DA3BBC" w:rsidRDefault="00E43D2B" w:rsidP="00F97F32">
            <w:pPr>
              <w:pStyle w:val="TAL"/>
            </w:pPr>
            <w:r w:rsidRPr="00DA3BBC">
              <w:t>It refers to the time period between start of two data bursts.</w:t>
            </w:r>
          </w:p>
        </w:tc>
      </w:tr>
      <w:tr w:rsidR="00E43D2B" w:rsidRPr="00DA3BBC" w:rsidTr="007F39D8">
        <w:trPr>
          <w:cantSplit/>
          <w:jc w:val="center"/>
        </w:trPr>
        <w:tc>
          <w:tcPr>
            <w:tcW w:w="3166" w:type="dxa"/>
            <w:shd w:val="clear" w:color="auto" w:fill="auto"/>
          </w:tcPr>
          <w:p w:rsidR="00E43D2B" w:rsidRPr="00DA3BBC" w:rsidRDefault="00E43D2B" w:rsidP="00F97F32">
            <w:pPr>
              <w:pStyle w:val="TAL"/>
            </w:pPr>
            <w:r w:rsidRPr="00DA3BBC">
              <w:t>Burst Arrival Time (optional)</w:t>
            </w:r>
          </w:p>
        </w:tc>
        <w:tc>
          <w:tcPr>
            <w:tcW w:w="6465" w:type="dxa"/>
            <w:shd w:val="clear" w:color="auto" w:fill="auto"/>
          </w:tcPr>
          <w:p w:rsidR="00E43D2B" w:rsidRPr="00DA3BBC" w:rsidRDefault="00E43D2B" w:rsidP="00F97F32">
            <w:pPr>
              <w:pStyle w:val="TAL"/>
            </w:pPr>
            <w:r w:rsidRPr="00DA3BBC">
              <w:t>The time when the first packet of the data burst arrives at the ingress port of 5GS for a given flow direction (DS-TT for uplink, NW-TT for downlink).</w:t>
            </w:r>
          </w:p>
        </w:tc>
      </w:tr>
      <w:tr w:rsidR="00E43D2B" w:rsidRPr="00DA3BBC" w:rsidTr="007F39D8">
        <w:trPr>
          <w:cantSplit/>
          <w:jc w:val="center"/>
        </w:trPr>
        <w:tc>
          <w:tcPr>
            <w:tcW w:w="3166" w:type="dxa"/>
            <w:shd w:val="clear" w:color="auto" w:fill="auto"/>
          </w:tcPr>
          <w:p w:rsidR="00E43D2B" w:rsidRPr="00DA3BBC" w:rsidRDefault="00E43D2B" w:rsidP="00F97F32">
            <w:pPr>
              <w:pStyle w:val="TAL"/>
            </w:pPr>
            <w:r w:rsidRPr="00DA3BBC">
              <w:t>Survival Time (optional)</w:t>
            </w:r>
          </w:p>
        </w:tc>
        <w:tc>
          <w:tcPr>
            <w:tcW w:w="6465" w:type="dxa"/>
            <w:shd w:val="clear" w:color="auto" w:fill="auto"/>
          </w:tcPr>
          <w:p w:rsidR="00E43D2B" w:rsidRPr="00DA3BBC" w:rsidRDefault="00E43D2B" w:rsidP="00F97F32">
            <w:pPr>
              <w:pStyle w:val="TAL"/>
            </w:pPr>
            <w:r w:rsidRPr="00DA3BBC">
              <w:t>It refers to the time period an application can survive without any data burst, as defined in clause C.2.3 of TS 22.104 [105].</w:t>
            </w:r>
          </w:p>
        </w:tc>
      </w:tr>
      <w:tr w:rsidR="00E43D2B" w:rsidRPr="00DA3BBC" w:rsidTr="007F39D8">
        <w:trPr>
          <w:cantSplit/>
          <w:jc w:val="center"/>
        </w:trPr>
        <w:tc>
          <w:tcPr>
            <w:tcW w:w="3166" w:type="dxa"/>
            <w:shd w:val="clear" w:color="auto" w:fill="auto"/>
          </w:tcPr>
          <w:p w:rsidR="00E43D2B" w:rsidRPr="00DA3BBC" w:rsidRDefault="00E43D2B" w:rsidP="00F97F32">
            <w:pPr>
              <w:pStyle w:val="TAL"/>
            </w:pPr>
            <w:r w:rsidRPr="00DA3BBC">
              <w:t>Time Domain (optional)</w:t>
            </w:r>
          </w:p>
        </w:tc>
        <w:tc>
          <w:tcPr>
            <w:tcW w:w="6465" w:type="dxa"/>
            <w:shd w:val="clear" w:color="auto" w:fill="auto"/>
          </w:tcPr>
          <w:p w:rsidR="00E43D2B" w:rsidRPr="00DA3BBC" w:rsidRDefault="00E43D2B" w:rsidP="00F97F32">
            <w:pPr>
              <w:pStyle w:val="TAL"/>
            </w:pPr>
            <w:r w:rsidRPr="00DA3BBC">
              <w:t>The (g)PTP domain of the TSC flow.</w:t>
            </w:r>
          </w:p>
        </w:tc>
      </w:tr>
    </w:tbl>
    <w:p w:rsidR="007F39D8" w:rsidRPr="00234E94" w:rsidRDefault="007F39D8" w:rsidP="007F39D8"/>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43D2B" w:rsidRPr="00DA3BBC" w:rsidRDefault="00E43D2B" w:rsidP="00E43D2B">
      <w:pPr>
        <w:pStyle w:val="Heading4"/>
      </w:pPr>
      <w:bookmarkStart w:id="13" w:name="_Toc91148561"/>
      <w:r w:rsidRPr="00DA3BBC">
        <w:t>5.27.2.4</w:t>
      </w:r>
      <w:r w:rsidRPr="00DA3BBC">
        <w:tab/>
        <w:t>TSCAI determination based on TSC Assistance Container</w:t>
      </w:r>
      <w:bookmarkEnd w:id="13"/>
    </w:p>
    <w:p w:rsidR="00E43D2B" w:rsidRPr="00DA3BBC" w:rsidRDefault="00E43D2B" w:rsidP="00E43D2B">
      <w:r w:rsidRPr="00DA3BBC">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rsidR="00E43D2B" w:rsidRPr="00DA3BBC" w:rsidRDefault="00E43D2B" w:rsidP="00E43D2B">
      <w:r w:rsidRPr="00DA3BBC">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rsidR="00E43D2B" w:rsidRPr="00DA3BBC" w:rsidRDefault="00E43D2B" w:rsidP="00E43D2B">
      <w:r w:rsidRPr="00DA3BBC">
        <w:t>The TSCAI parameter determination in SMF is done as follows:</w:t>
      </w:r>
    </w:p>
    <w:p w:rsidR="00E43D2B" w:rsidRPr="00DA3BBC" w:rsidRDefault="00E43D2B" w:rsidP="00E43D2B">
      <w:pPr>
        <w:pStyle w:val="B1"/>
      </w:pPr>
      <w:r w:rsidRPr="00DA3BBC">
        <w:t>-</w:t>
      </w:r>
      <w:r w:rsidRPr="00DA3BBC">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rsidR="00E43D2B" w:rsidRPr="00DA3BBC" w:rsidRDefault="00E43D2B" w:rsidP="00E43D2B">
      <w:pPr>
        <w:pStyle w:val="B1"/>
      </w:pPr>
      <w:r w:rsidRPr="00DA3BBC">
        <w:t>-</w:t>
      </w:r>
      <w:r w:rsidRPr="00DA3BBC">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UE</w:t>
      </w:r>
      <w:del w:id="14" w:author="Huawei" w:date="2022-03-14T16:38:00Z">
        <w:r w:rsidRPr="00DA3BBC" w:rsidDel="00E43D2B">
          <w:delText xml:space="preserve"> egress</w:delText>
        </w:r>
      </w:del>
      <w:r w:rsidRPr="00DA3BBC">
        <w:t>.</w:t>
      </w:r>
      <w:r>
        <w:t xml:space="preserve"> How the SMF corrects the Burst Arrival Time if the UE-DS-TT </w:t>
      </w:r>
      <w:del w:id="15" w:author="Huawei" w:date="2022-04-14T09:31:00Z">
        <w:r w:rsidDel="00313039">
          <w:delText>r</w:delText>
        </w:r>
      </w:del>
      <w:ins w:id="16" w:author="Huawei" w:date="2022-04-14T09:31:00Z">
        <w:r w:rsidR="00313039">
          <w:t>R</w:t>
        </w:r>
      </w:ins>
      <w:r>
        <w:t xml:space="preserve">esidence </w:t>
      </w:r>
      <w:del w:id="17" w:author="Huawei" w:date="2022-04-14T09:31:00Z">
        <w:r w:rsidDel="00313039">
          <w:delText>t</w:delText>
        </w:r>
      </w:del>
      <w:ins w:id="18" w:author="Huawei" w:date="2022-04-14T09:31:00Z">
        <w:r w:rsidR="00313039">
          <w:t>T</w:t>
        </w:r>
      </w:ins>
      <w:r>
        <w:t>ime has not been provided by the UE is up to SMF implementation.</w:t>
      </w:r>
    </w:p>
    <w:p w:rsidR="00E43D2B" w:rsidRPr="00DA3BBC" w:rsidRDefault="00E43D2B" w:rsidP="00E43D2B">
      <w:pPr>
        <w:pStyle w:val="B1"/>
      </w:pPr>
      <w:r w:rsidRPr="00DA3BBC">
        <w:t>-</w:t>
      </w:r>
      <w:r w:rsidRPr="00DA3BBC">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rsidR="00E43D2B" w:rsidRPr="00DA3BBC" w:rsidRDefault="00E43D2B" w:rsidP="00E43D2B">
      <w:pPr>
        <w:pStyle w:val="B1"/>
      </w:pPr>
      <w:r w:rsidRPr="00DA3BBC">
        <w:t>-</w:t>
      </w:r>
      <w:r w:rsidRPr="00DA3BBC">
        <w:tab/>
        <w:t>The SMF sets the TSCAI Flow Direction as the Flow Direction in the TSC Assistance Container.</w:t>
      </w:r>
    </w:p>
    <w:p w:rsidR="00E43D2B" w:rsidRPr="00DA3BBC" w:rsidRDefault="00E43D2B" w:rsidP="00E43D2B">
      <w:pPr>
        <w:pStyle w:val="B1"/>
      </w:pPr>
      <w:r w:rsidRPr="00DA3BBC">
        <w:t>-</w:t>
      </w:r>
      <w:r w:rsidRPr="00DA3BBC">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rsidR="00E43D2B" w:rsidRPr="00DA3BBC" w:rsidRDefault="00E43D2B" w:rsidP="00E43D2B">
      <w:r w:rsidRPr="00DA3BBC">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rsidR="00E43D2B" w:rsidRPr="00DA3BBC" w:rsidRDefault="00E43D2B" w:rsidP="00E43D2B">
      <w:r w:rsidRPr="00DA3BBC">
        <w:t>In the case of drift between external GM clock and 5G clock, the UPF updates the offset to SMF using the N4 Report Procedure as defined in clause 4.4.3.4 of TS 23.502 [3]. If the cumulative rateRatio is available and in the case of change of cumulative rateRatio between external PTP time and 5G time, the UPF updates the cumulative rateRatio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rsidR="00E43D2B" w:rsidRPr="00DA3BBC" w:rsidRDefault="00E43D2B" w:rsidP="00E43D2B">
      <w:pPr>
        <w:pStyle w:val="NO"/>
      </w:pPr>
      <w:r w:rsidRPr="00DA3BBC">
        <w:lastRenderedPageBreak/>
        <w:t>NOTE 4:</w:t>
      </w:r>
      <w:r w:rsidRPr="00DA3BBC">
        <w:tab/>
        <w:t>In order to prevent frequent updates from the UPF, the UPF sends the offset or the cumulative rateRatio only when the difference between the current measurement and the previously reported measurement is larger than a threshold as described in clause 4.4.3.4 of TS 23.502 [3].</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641A" w:rsidRDefault="0066641A">
      <w:r>
        <w:separator/>
      </w:r>
    </w:p>
  </w:endnote>
  <w:endnote w:type="continuationSeparator" w:id="0">
    <w:p w:rsidR="0066641A" w:rsidRDefault="0066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641A" w:rsidRDefault="0066641A">
      <w:r>
        <w:separator/>
      </w:r>
    </w:p>
  </w:footnote>
  <w:footnote w:type="continuationSeparator" w:id="0">
    <w:p w:rsidR="0066641A" w:rsidRDefault="00666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FA9"/>
    <w:rsid w:val="000270EE"/>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1084"/>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13039"/>
    <w:rsid w:val="00336774"/>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49D5"/>
    <w:rsid w:val="0051580D"/>
    <w:rsid w:val="00524056"/>
    <w:rsid w:val="00537FB7"/>
    <w:rsid w:val="00547111"/>
    <w:rsid w:val="0056623C"/>
    <w:rsid w:val="00581FE6"/>
    <w:rsid w:val="00592D74"/>
    <w:rsid w:val="005E2C44"/>
    <w:rsid w:val="005E65C0"/>
    <w:rsid w:val="00621188"/>
    <w:rsid w:val="006257ED"/>
    <w:rsid w:val="00625CC6"/>
    <w:rsid w:val="0066641A"/>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75B0"/>
    <w:rsid w:val="007B512A"/>
    <w:rsid w:val="007C2097"/>
    <w:rsid w:val="007D5352"/>
    <w:rsid w:val="007D6A07"/>
    <w:rsid w:val="007F2012"/>
    <w:rsid w:val="007F39D8"/>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10673"/>
    <w:rsid w:val="00A246B6"/>
    <w:rsid w:val="00A256DB"/>
    <w:rsid w:val="00A25CC3"/>
    <w:rsid w:val="00A263D1"/>
    <w:rsid w:val="00A47E70"/>
    <w:rsid w:val="00A50CF0"/>
    <w:rsid w:val="00A542FF"/>
    <w:rsid w:val="00A7671C"/>
    <w:rsid w:val="00A87BB1"/>
    <w:rsid w:val="00AA2CBC"/>
    <w:rsid w:val="00AA5DE5"/>
    <w:rsid w:val="00AC5820"/>
    <w:rsid w:val="00AD1CD8"/>
    <w:rsid w:val="00AE74BA"/>
    <w:rsid w:val="00AF1A6F"/>
    <w:rsid w:val="00B068A1"/>
    <w:rsid w:val="00B15BA9"/>
    <w:rsid w:val="00B258BB"/>
    <w:rsid w:val="00B3068D"/>
    <w:rsid w:val="00B50844"/>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04AF"/>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1FC2"/>
    <w:rsid w:val="00DF53A0"/>
    <w:rsid w:val="00E13F3D"/>
    <w:rsid w:val="00E23990"/>
    <w:rsid w:val="00E32339"/>
    <w:rsid w:val="00E34898"/>
    <w:rsid w:val="00E43D2B"/>
    <w:rsid w:val="00E533D9"/>
    <w:rsid w:val="00E61B6E"/>
    <w:rsid w:val="00E75B48"/>
    <w:rsid w:val="00E82D4D"/>
    <w:rsid w:val="00EA154E"/>
    <w:rsid w:val="00EB09B7"/>
    <w:rsid w:val="00EE1D4B"/>
    <w:rsid w:val="00EE7D7C"/>
    <w:rsid w:val="00F25D98"/>
    <w:rsid w:val="00F300FB"/>
    <w:rsid w:val="00F41DF3"/>
    <w:rsid w:val="00F8390E"/>
    <w:rsid w:val="00F93A68"/>
    <w:rsid w:val="00FA0995"/>
    <w:rsid w:val="00FA6A7C"/>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4D6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43D2B"/>
    <w:rPr>
      <w:rFonts w:ascii="Times New Roman" w:hAnsi="Times New Roman"/>
      <w:lang w:val="en-GB" w:eastAsia="en-US"/>
    </w:rPr>
  </w:style>
  <w:style w:type="character" w:customStyle="1" w:styleId="TALChar">
    <w:name w:val="TAL Char"/>
    <w:link w:val="TAL"/>
    <w:rsid w:val="00E43D2B"/>
    <w:rPr>
      <w:rFonts w:ascii="Arial" w:hAnsi="Arial"/>
      <w:sz w:val="18"/>
      <w:lang w:val="en-GB" w:eastAsia="en-US"/>
    </w:rPr>
  </w:style>
  <w:style w:type="character" w:customStyle="1" w:styleId="TAHCar">
    <w:name w:val="TAH Car"/>
    <w:link w:val="TAH"/>
    <w:rsid w:val="00E43D2B"/>
    <w:rPr>
      <w:rFonts w:ascii="Arial" w:hAnsi="Arial"/>
      <w:b/>
      <w:sz w:val="18"/>
      <w:lang w:val="en-GB" w:eastAsia="en-US"/>
    </w:rPr>
  </w:style>
  <w:style w:type="character" w:customStyle="1" w:styleId="THChar">
    <w:name w:val="TH Char"/>
    <w:link w:val="TH"/>
    <w:qFormat/>
    <w:rsid w:val="00E43D2B"/>
    <w:rPr>
      <w:rFonts w:ascii="Arial" w:hAnsi="Arial"/>
      <w:b/>
      <w:lang w:val="en-GB" w:eastAsia="en-US"/>
    </w:rPr>
  </w:style>
  <w:style w:type="character" w:customStyle="1" w:styleId="NOZchn">
    <w:name w:val="NO Zchn"/>
    <w:link w:val="NO"/>
    <w:rsid w:val="00E43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20BB4-A893-43FB-9CC7-522FA4B73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1703</Words>
  <Characters>9711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2022-05-06T15:11:00Z</dcterms:created>
  <dcterms:modified xsi:type="dcterms:W3CDTF">2022-05-06T15:11:00Z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